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7DE8" w14:textId="77777777" w:rsidR="0001678D" w:rsidRPr="00AC1A09" w:rsidRDefault="0001678D" w:rsidP="0001678D">
      <w:pPr>
        <w:rPr>
          <w:rFonts w:asciiTheme="minorHAnsi" w:hAnsiTheme="minorHAnsi" w:cstheme="minorHAnsi"/>
          <w:b/>
          <w:color w:val="FF0000"/>
          <w:sz w:val="28"/>
        </w:rPr>
      </w:pPr>
      <w:r w:rsidRPr="0001678D">
        <w:rPr>
          <w:rFonts w:asciiTheme="minorHAnsi" w:hAnsiTheme="minorHAnsi" w:cstheme="minorHAnsi"/>
          <w:b/>
          <w:color w:val="FF0000"/>
          <w:sz w:val="28"/>
        </w:rPr>
        <w:t xml:space="preserve">Trockene Haut </w:t>
      </w:r>
      <w:r w:rsidRPr="00D84D3E"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Xerosis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cutis</w:t>
      </w:r>
      <w:proofErr w:type="spellEnd"/>
      <w:r w:rsidRPr="00D84D3E">
        <w:rPr>
          <w:rFonts w:asciiTheme="minorHAnsi" w:hAnsiTheme="minorHAnsi" w:cstheme="minorHAnsi"/>
        </w:rPr>
        <w:t>)</w:t>
      </w:r>
    </w:p>
    <w:p w14:paraId="765AE8D9" w14:textId="77777777" w:rsidR="0001678D" w:rsidRDefault="0001678D" w:rsidP="0001678D">
      <w:pPr>
        <w:pStyle w:val="Listenabsatz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1678D">
        <w:rPr>
          <w:rFonts w:asciiTheme="minorHAnsi" w:hAnsiTheme="minorHAnsi" w:cstheme="minorHAnsi"/>
        </w:rPr>
        <w:t>Trockenheit führt die Liste der Hautbeschwerden an: über 40 % der Besuche beim Hautarzt sind au</w:t>
      </w:r>
      <w:r>
        <w:rPr>
          <w:rFonts w:asciiTheme="minorHAnsi" w:hAnsiTheme="minorHAnsi" w:cstheme="minorHAnsi"/>
        </w:rPr>
        <w:t>f trockene Haut zurückzuführen</w:t>
      </w:r>
    </w:p>
    <w:p w14:paraId="18A3B630" w14:textId="77777777" w:rsidR="0001678D" w:rsidRDefault="0001678D" w:rsidP="0001678D">
      <w:pPr>
        <w:pStyle w:val="Listenabsatz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Diese kann </w:t>
      </w:r>
      <w:r w:rsidRPr="0001678D">
        <w:rPr>
          <w:rFonts w:asciiTheme="minorHAnsi" w:hAnsiTheme="minorHAnsi" w:cstheme="minorHAnsi"/>
        </w:rPr>
        <w:t>am gesamten Körper auftreten, macht sich jedoch am häufigsten an den Händen, Füßen, Knien, Ellbogen und im Gesicht bemerkbar, da diese Stellen äußeren Einflüssen stär</w:t>
      </w:r>
      <w:r>
        <w:rPr>
          <w:rFonts w:asciiTheme="minorHAnsi" w:hAnsiTheme="minorHAnsi" w:cstheme="minorHAnsi"/>
        </w:rPr>
        <w:t>ker ausgesetzt sind als andere</w:t>
      </w:r>
    </w:p>
    <w:p w14:paraId="5B910276" w14:textId="77777777" w:rsidR="0001678D" w:rsidRDefault="0001678D" w:rsidP="0001678D">
      <w:pPr>
        <w:pStyle w:val="Listenabsatz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1678D">
        <w:rPr>
          <w:rFonts w:asciiTheme="minorHAnsi" w:hAnsiTheme="minorHAnsi" w:cstheme="minorHAnsi"/>
        </w:rPr>
        <w:t>Trockene Haut im Gesicht kann zur vor</w:t>
      </w:r>
      <w:r>
        <w:rPr>
          <w:rFonts w:asciiTheme="minorHAnsi" w:hAnsiTheme="minorHAnsi" w:cstheme="minorHAnsi"/>
        </w:rPr>
        <w:t>zeitigen Hautalterung beitragen</w:t>
      </w:r>
    </w:p>
    <w:p w14:paraId="65185D74" w14:textId="77777777" w:rsidR="0001678D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</w:p>
    <w:p w14:paraId="72C61D41" w14:textId="77777777" w:rsidR="0001678D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325E75">
        <w:rPr>
          <w:rFonts w:asciiTheme="minorHAnsi" w:hAnsiTheme="minorHAnsi" w:cstheme="minorHAnsi"/>
          <w:b/>
          <w:color w:val="0070C0"/>
          <w:sz w:val="24"/>
          <w:u w:val="single"/>
        </w:rPr>
        <w:t>U</w:t>
      </w:r>
      <w:r>
        <w:rPr>
          <w:rFonts w:asciiTheme="minorHAnsi" w:hAnsiTheme="minorHAnsi" w:cstheme="minorHAnsi"/>
          <w:b/>
          <w:color w:val="0070C0"/>
          <w:sz w:val="24"/>
          <w:u w:val="single"/>
        </w:rPr>
        <w:t>rsachen</w:t>
      </w:r>
    </w:p>
    <w:p w14:paraId="355D38F4" w14:textId="77777777" w:rsidR="0001678D" w:rsidRPr="00325E75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545EC9AC" w14:textId="77777777" w:rsidR="0001678D" w:rsidRDefault="0001678D" w:rsidP="0001678D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Hauptursachen sind Umwelteinflüssen und </w:t>
      </w:r>
      <w:r w:rsidRPr="0001678D">
        <w:rPr>
          <w:rFonts w:asciiTheme="minorHAnsi" w:hAnsiTheme="minorHAnsi" w:cstheme="minorHAnsi"/>
        </w:rPr>
        <w:t>ungeeigneten Hautpflege</w:t>
      </w:r>
    </w:p>
    <w:p w14:paraId="536BADF0" w14:textId="77777777" w:rsidR="0001678D" w:rsidRDefault="0001678D" w:rsidP="0001678D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Aber auch Erkrankungen: </w:t>
      </w:r>
      <w:r w:rsidRPr="0001678D">
        <w:rPr>
          <w:rFonts w:asciiTheme="minorHAnsi" w:hAnsiTheme="minorHAnsi" w:cstheme="minorHAnsi"/>
        </w:rPr>
        <w:t xml:space="preserve">Neurodermitis, Psoriasis, Diabetes, </w:t>
      </w:r>
      <w:proofErr w:type="spellStart"/>
      <w:r w:rsidRPr="0001678D">
        <w:rPr>
          <w:rFonts w:asciiTheme="minorHAnsi" w:hAnsiTheme="minorHAnsi" w:cstheme="minorHAnsi"/>
        </w:rPr>
        <w:t>Keratosis</w:t>
      </w:r>
      <w:proofErr w:type="spellEnd"/>
      <w:r w:rsidRPr="0001678D">
        <w:rPr>
          <w:rFonts w:asciiTheme="minorHAnsi" w:hAnsiTheme="minorHAnsi" w:cstheme="minorHAnsi"/>
        </w:rPr>
        <w:t xml:space="preserve"> </w:t>
      </w:r>
      <w:proofErr w:type="spellStart"/>
      <w:r w:rsidRPr="0001678D">
        <w:rPr>
          <w:rFonts w:asciiTheme="minorHAnsi" w:hAnsiTheme="minorHAnsi" w:cstheme="minorHAnsi"/>
        </w:rPr>
        <w:t>pilaris</w:t>
      </w:r>
      <w:proofErr w:type="spellEnd"/>
      <w:r w:rsidRPr="0001678D">
        <w:rPr>
          <w:rFonts w:asciiTheme="minorHAnsi" w:hAnsiTheme="minorHAnsi" w:cstheme="minorHAnsi"/>
        </w:rPr>
        <w:t xml:space="preserve"> (auch Reibeisenhaut genannt), Ichthyosis (Verhornungsstörung der Haut)</w:t>
      </w:r>
    </w:p>
    <w:p w14:paraId="64FCC3F3" w14:textId="77777777" w:rsidR="003472B7" w:rsidRDefault="003472B7" w:rsidP="003472B7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>Trockene Haut wird durch eine Störung der Hautbarriere verursacht, dabei gehen durch einen Mangel an Feuchthaltefaktoren Feuchtigkeit und die Fähigkeit, Wasser zu binden, verloren.</w:t>
      </w:r>
    </w:p>
    <w:p w14:paraId="4FF63378" w14:textId="77777777" w:rsidR="0001678D" w:rsidRPr="0001678D" w:rsidRDefault="0001678D" w:rsidP="0001678D">
      <w:pPr>
        <w:pStyle w:val="Listenabsatz"/>
        <w:spacing w:after="0"/>
        <w:rPr>
          <w:rFonts w:asciiTheme="minorHAnsi" w:hAnsiTheme="minorHAnsi" w:cstheme="minorHAnsi"/>
        </w:rPr>
      </w:pPr>
    </w:p>
    <w:p w14:paraId="3321558A" w14:textId="77777777" w:rsidR="0001678D" w:rsidRDefault="0001678D" w:rsidP="0001678D">
      <w:pPr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01678D">
        <w:rPr>
          <w:rFonts w:asciiTheme="minorHAnsi" w:hAnsiTheme="minorHAnsi" w:cstheme="minorHAnsi"/>
          <w:b/>
          <w:color w:val="0070C0"/>
          <w:sz w:val="24"/>
          <w:u w:val="single"/>
        </w:rPr>
        <w:t>Auslöser</w:t>
      </w:r>
    </w:p>
    <w:p w14:paraId="20DB6BE5" w14:textId="77777777" w:rsidR="0001678D" w:rsidRPr="0001678D" w:rsidRDefault="0001678D" w:rsidP="00241BB2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01678D">
        <w:rPr>
          <w:rFonts w:asciiTheme="minorHAnsi" w:hAnsiTheme="minorHAnsi" w:cstheme="minorHAnsi"/>
        </w:rPr>
        <w:t xml:space="preserve">Umwelt: Ungünstige Wetterbedingungen – heiße, kalte und trockene Luft </w:t>
      </w:r>
    </w:p>
    <w:p w14:paraId="1CC70516" w14:textId="77777777" w:rsidR="0001678D" w:rsidRPr="0001678D" w:rsidRDefault="0001678D" w:rsidP="0001678D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01678D">
        <w:rPr>
          <w:rFonts w:asciiTheme="minorHAnsi" w:hAnsiTheme="minorHAnsi" w:cstheme="minorHAnsi"/>
        </w:rPr>
        <w:t>Jahreszeiten</w:t>
      </w:r>
      <w:r>
        <w:rPr>
          <w:rFonts w:asciiTheme="minorHAnsi" w:hAnsiTheme="minorHAnsi" w:cstheme="minorHAnsi"/>
        </w:rPr>
        <w:t>:</w:t>
      </w:r>
      <w:r w:rsidRPr="000167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01678D">
        <w:rPr>
          <w:rFonts w:asciiTheme="minorHAnsi" w:hAnsiTheme="minorHAnsi" w:cstheme="minorHAnsi"/>
        </w:rPr>
        <w:t>rockene Haut verschlimmer</w:t>
      </w:r>
      <w:r>
        <w:rPr>
          <w:rFonts w:asciiTheme="minorHAnsi" w:hAnsiTheme="minorHAnsi" w:cstheme="minorHAnsi"/>
        </w:rPr>
        <w:t>t</w:t>
      </w:r>
      <w:r w:rsidRPr="0001678D">
        <w:rPr>
          <w:rFonts w:asciiTheme="minorHAnsi" w:hAnsiTheme="minorHAnsi" w:cstheme="minorHAnsi"/>
        </w:rPr>
        <w:t xml:space="preserve"> sich</w:t>
      </w:r>
      <w:r>
        <w:rPr>
          <w:rFonts w:asciiTheme="minorHAnsi" w:hAnsiTheme="minorHAnsi" w:cstheme="minorHAnsi"/>
        </w:rPr>
        <w:t xml:space="preserve"> meist in der kalten Jahreszeit</w:t>
      </w:r>
    </w:p>
    <w:p w14:paraId="1A1AEF1E" w14:textId="77777777" w:rsidR="0001678D" w:rsidRDefault="0001678D" w:rsidP="0001678D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01678D">
        <w:rPr>
          <w:rFonts w:asciiTheme="minorHAnsi" w:hAnsiTheme="minorHAnsi" w:cstheme="minorHAnsi"/>
        </w:rPr>
        <w:t xml:space="preserve">Ultraviolettes Licht (UV) </w:t>
      </w:r>
      <w:r>
        <w:rPr>
          <w:rFonts w:asciiTheme="minorHAnsi" w:hAnsiTheme="minorHAnsi" w:cstheme="minorHAnsi"/>
        </w:rPr>
        <w:t>t</w:t>
      </w:r>
      <w:r w:rsidR="003472B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ocknet die Haut aus und kann</w:t>
      </w:r>
      <w:r w:rsidRPr="0001678D">
        <w:rPr>
          <w:rFonts w:asciiTheme="minorHAnsi" w:hAnsiTheme="minorHAnsi" w:cstheme="minorHAnsi"/>
        </w:rPr>
        <w:t xml:space="preserve"> die </w:t>
      </w:r>
      <w:hyperlink r:id="rId5" w:history="1">
        <w:r w:rsidRPr="003472B7">
          <w:rPr>
            <w:rStyle w:val="Hyperlink"/>
            <w:rFonts w:asciiTheme="minorHAnsi" w:hAnsiTheme="minorHAnsi" w:cstheme="minorHAnsi"/>
            <w:color w:val="auto"/>
            <w:u w:val="none"/>
          </w:rPr>
          <w:t>Hautalterung</w:t>
        </w:r>
      </w:hyperlink>
      <w:r w:rsidRPr="003472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verstärken</w:t>
      </w:r>
    </w:p>
    <w:p w14:paraId="16540860" w14:textId="77777777" w:rsidR="0001678D" w:rsidRDefault="0001678D" w:rsidP="00044B04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01678D">
        <w:rPr>
          <w:rFonts w:asciiTheme="minorHAnsi" w:hAnsiTheme="minorHAnsi" w:cstheme="minorHAnsi"/>
        </w:rPr>
        <w:t>Ältere Haut neigt zunehmend zur Trockenheit</w:t>
      </w:r>
    </w:p>
    <w:p w14:paraId="30D20060" w14:textId="77777777" w:rsidR="0001678D" w:rsidRDefault="0001678D" w:rsidP="00E00919">
      <w:pPr>
        <w:pStyle w:val="Listenabsatz"/>
        <w:numPr>
          <w:ilvl w:val="0"/>
          <w:numId w:val="8"/>
        </w:numPr>
        <w:rPr>
          <w:rFonts w:asciiTheme="minorHAnsi" w:hAnsiTheme="minorHAnsi" w:cstheme="minorHAnsi"/>
        </w:rPr>
      </w:pPr>
      <w:r w:rsidRPr="0001678D">
        <w:rPr>
          <w:rFonts w:asciiTheme="minorHAnsi" w:hAnsiTheme="minorHAnsi" w:cstheme="minorHAnsi"/>
        </w:rPr>
        <w:t>Medikamente: als Nebenwirkung tritt trockene Haut auf z.B. harntreibende Mittel, die den Blutdruck senken, Antibiotika und</w:t>
      </w:r>
      <w:r w:rsidR="003472B7">
        <w:rPr>
          <w:rFonts w:asciiTheme="minorHAnsi" w:hAnsiTheme="minorHAnsi" w:cstheme="minorHAnsi"/>
        </w:rPr>
        <w:t xml:space="preserve"> </w:t>
      </w:r>
      <w:proofErr w:type="spellStart"/>
      <w:r w:rsidRPr="0001678D">
        <w:rPr>
          <w:rFonts w:asciiTheme="minorHAnsi" w:hAnsiTheme="minorHAnsi" w:cstheme="minorHAnsi"/>
        </w:rPr>
        <w:t>Aknemedikamente</w:t>
      </w:r>
      <w:proofErr w:type="spellEnd"/>
      <w:r w:rsidRPr="0001678D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>önnen zu trockener Haut führen</w:t>
      </w:r>
    </w:p>
    <w:p w14:paraId="036530E1" w14:textId="77777777" w:rsidR="0001678D" w:rsidRDefault="0001678D" w:rsidP="002029C1">
      <w:pPr>
        <w:pStyle w:val="Listenabsatz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01678D">
        <w:rPr>
          <w:rFonts w:asciiTheme="minorHAnsi" w:hAnsiTheme="minorHAnsi" w:cstheme="minorHAnsi"/>
        </w:rPr>
        <w:t>Genetische Einflüsse:  Der Feuchtigkeitshaushalt der Haut wird auch durch genetische F</w:t>
      </w:r>
      <w:r>
        <w:rPr>
          <w:rFonts w:asciiTheme="minorHAnsi" w:hAnsiTheme="minorHAnsi" w:cstheme="minorHAnsi"/>
        </w:rPr>
        <w:t xml:space="preserve">aktoren bestimmt </w:t>
      </w:r>
    </w:p>
    <w:p w14:paraId="5C10DE96" w14:textId="77777777" w:rsidR="0001678D" w:rsidRDefault="0001678D" w:rsidP="0001678D">
      <w:pPr>
        <w:pStyle w:val="Listenabsatz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01678D">
        <w:rPr>
          <w:rFonts w:asciiTheme="minorHAnsi" w:hAnsiTheme="minorHAnsi" w:cstheme="minorHAnsi"/>
        </w:rPr>
        <w:t>Ernährung</w:t>
      </w:r>
      <w:r>
        <w:rPr>
          <w:rFonts w:asciiTheme="minorHAnsi" w:hAnsiTheme="minorHAnsi" w:cstheme="minorHAnsi"/>
        </w:rPr>
        <w:t xml:space="preserve">: Ein Mangel an </w:t>
      </w:r>
      <w:r w:rsidRPr="0001678D">
        <w:rPr>
          <w:rFonts w:asciiTheme="minorHAnsi" w:hAnsiTheme="minorHAnsi" w:cstheme="minorHAnsi"/>
        </w:rPr>
        <w:t xml:space="preserve">Nährstoffen </w:t>
      </w:r>
      <w:r>
        <w:rPr>
          <w:rFonts w:asciiTheme="minorHAnsi" w:hAnsiTheme="minorHAnsi" w:cstheme="minorHAnsi"/>
        </w:rPr>
        <w:t xml:space="preserve">wie </w:t>
      </w:r>
      <w:r w:rsidRPr="0001678D">
        <w:rPr>
          <w:rFonts w:asciiTheme="minorHAnsi" w:hAnsiTheme="minorHAnsi" w:cstheme="minorHAnsi"/>
        </w:rPr>
        <w:t>ungesättigte Fettsäuren und Vitamine</w:t>
      </w:r>
      <w:r>
        <w:rPr>
          <w:rFonts w:asciiTheme="minorHAnsi" w:hAnsiTheme="minorHAnsi" w:cstheme="minorHAnsi"/>
        </w:rPr>
        <w:t xml:space="preserve"> </w:t>
      </w:r>
    </w:p>
    <w:p w14:paraId="0E37F8D6" w14:textId="77777777" w:rsidR="0001678D" w:rsidRPr="003472B7" w:rsidRDefault="0001678D" w:rsidP="00AB1904">
      <w:pPr>
        <w:pStyle w:val="Listenabsatz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 xml:space="preserve">Alter: </w:t>
      </w:r>
      <w:r w:rsidR="003472B7" w:rsidRPr="003472B7">
        <w:rPr>
          <w:rFonts w:asciiTheme="minorHAnsi" w:hAnsiTheme="minorHAnsi" w:cstheme="minorHAnsi"/>
        </w:rPr>
        <w:t>Verringerung der</w:t>
      </w:r>
      <w:r w:rsidRPr="003472B7">
        <w:rPr>
          <w:rFonts w:asciiTheme="minorHAnsi" w:hAnsiTheme="minorHAnsi" w:cstheme="minorHAnsi"/>
        </w:rPr>
        <w:t xml:space="preserve"> Anzahl der Talg- und Schweißdrüsen in der Haut</w:t>
      </w:r>
      <w:r w:rsidR="003472B7" w:rsidRPr="003472B7">
        <w:rPr>
          <w:rFonts w:asciiTheme="minorHAnsi" w:hAnsiTheme="minorHAnsi" w:cstheme="minorHAnsi"/>
        </w:rPr>
        <w:t xml:space="preserve">, </w:t>
      </w:r>
      <w:r w:rsidR="003472B7">
        <w:rPr>
          <w:rFonts w:asciiTheme="minorHAnsi" w:hAnsiTheme="minorHAnsi" w:cstheme="minorHAnsi"/>
        </w:rPr>
        <w:t>d</w:t>
      </w:r>
      <w:r w:rsidRPr="003472B7">
        <w:rPr>
          <w:rFonts w:asciiTheme="minorHAnsi" w:hAnsiTheme="minorHAnsi" w:cstheme="minorHAnsi"/>
        </w:rPr>
        <w:t xml:space="preserve">er Wassergehalt der Haut und ihre Fähigkeit, Feuchtigkeit </w:t>
      </w:r>
      <w:r w:rsidR="003472B7">
        <w:rPr>
          <w:rFonts w:asciiTheme="minorHAnsi" w:hAnsiTheme="minorHAnsi" w:cstheme="minorHAnsi"/>
        </w:rPr>
        <w:t>zu binden, nehmen ebenfalls ab</w:t>
      </w:r>
    </w:p>
    <w:p w14:paraId="1451E324" w14:textId="77777777" w:rsidR="0001678D" w:rsidRPr="0001678D" w:rsidRDefault="0001678D" w:rsidP="0001678D">
      <w:pPr>
        <w:pStyle w:val="Listenabsatz"/>
        <w:spacing w:after="0"/>
        <w:rPr>
          <w:rFonts w:asciiTheme="minorHAnsi" w:hAnsiTheme="minorHAnsi" w:cstheme="minorHAnsi"/>
        </w:rPr>
      </w:pPr>
    </w:p>
    <w:p w14:paraId="248394CD" w14:textId="77777777" w:rsidR="0001678D" w:rsidRDefault="0001678D" w:rsidP="0001678D">
      <w:pPr>
        <w:pStyle w:val="berschrift2"/>
        <w:spacing w:before="0"/>
        <w:rPr>
          <w:rFonts w:asciiTheme="minorHAnsi" w:hAnsiTheme="minorHAnsi" w:cstheme="minorHAnsi"/>
          <w:color w:val="0070C0"/>
          <w:szCs w:val="22"/>
          <w:u w:val="single"/>
        </w:rPr>
      </w:pPr>
      <w:r w:rsidRPr="00C87D93">
        <w:rPr>
          <w:rFonts w:asciiTheme="minorHAnsi" w:hAnsiTheme="minorHAnsi" w:cstheme="minorHAnsi"/>
          <w:color w:val="0070C0"/>
          <w:szCs w:val="22"/>
          <w:u w:val="single"/>
        </w:rPr>
        <w:t xml:space="preserve">Das sollten Sie bei </w:t>
      </w:r>
      <w:r>
        <w:rPr>
          <w:rFonts w:asciiTheme="minorHAnsi" w:hAnsiTheme="minorHAnsi" w:cstheme="minorHAnsi"/>
          <w:color w:val="0070C0"/>
          <w:szCs w:val="22"/>
          <w:u w:val="single"/>
        </w:rPr>
        <w:t>trockener Haut</w:t>
      </w:r>
      <w:r w:rsidRPr="00C87D93">
        <w:rPr>
          <w:rFonts w:asciiTheme="minorHAnsi" w:hAnsiTheme="minorHAnsi" w:cstheme="minorHAnsi"/>
          <w:color w:val="0070C0"/>
          <w:szCs w:val="22"/>
          <w:u w:val="single"/>
        </w:rPr>
        <w:t xml:space="preserve"> vermeiden</w:t>
      </w:r>
    </w:p>
    <w:p w14:paraId="66F04334" w14:textId="77777777" w:rsidR="0001678D" w:rsidRPr="00325E75" w:rsidRDefault="0001678D" w:rsidP="0001678D">
      <w:pPr>
        <w:pStyle w:val="berschrift2"/>
        <w:spacing w:before="0"/>
        <w:rPr>
          <w:rFonts w:asciiTheme="minorHAnsi" w:hAnsiTheme="minorHAnsi" w:cstheme="minorHAnsi"/>
          <w:color w:val="0070C0"/>
          <w:sz w:val="16"/>
          <w:szCs w:val="22"/>
          <w:u w:val="single"/>
        </w:rPr>
      </w:pPr>
    </w:p>
    <w:p w14:paraId="2A4F0DB7" w14:textId="77777777" w:rsidR="003472B7" w:rsidRPr="003472B7" w:rsidRDefault="003472B7" w:rsidP="003472B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>Trockene Luft vermeiden</w:t>
      </w:r>
      <w:r>
        <w:rPr>
          <w:rFonts w:asciiTheme="minorHAnsi" w:hAnsiTheme="minorHAnsi" w:cstheme="minorHAnsi"/>
        </w:rPr>
        <w:t xml:space="preserve">  (z.B. i</w:t>
      </w:r>
      <w:r w:rsidRPr="003472B7">
        <w:rPr>
          <w:rFonts w:asciiTheme="minorHAnsi" w:hAnsiTheme="minorHAnsi" w:cstheme="minorHAnsi"/>
        </w:rPr>
        <w:t>n der Heizperiode</w:t>
      </w:r>
      <w:r>
        <w:rPr>
          <w:rFonts w:asciiTheme="minorHAnsi" w:hAnsiTheme="minorHAnsi" w:cstheme="minorHAnsi"/>
        </w:rPr>
        <w:t xml:space="preserve"> einen Luftbefeuchter einsetzen)</w:t>
      </w:r>
    </w:p>
    <w:p w14:paraId="35CDE791" w14:textId="77777777" w:rsidR="003472B7" w:rsidRPr="003472B7" w:rsidRDefault="003472B7" w:rsidP="003472B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>lange heiß duschen oder baden – schnelle, lauwarme Dusch</w:t>
      </w:r>
      <w:r>
        <w:rPr>
          <w:rFonts w:asciiTheme="minorHAnsi" w:hAnsiTheme="minorHAnsi" w:cstheme="minorHAnsi"/>
        </w:rPr>
        <w:t>en anstatt langer, heißer Bäder</w:t>
      </w:r>
    </w:p>
    <w:p w14:paraId="37398775" w14:textId="77777777" w:rsidR="003472B7" w:rsidRPr="003472B7" w:rsidRDefault="003472B7" w:rsidP="003472B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>Beim Abwaschen Handschuhe tragen</w:t>
      </w:r>
      <w:r>
        <w:rPr>
          <w:rFonts w:asciiTheme="minorHAnsi" w:hAnsiTheme="minorHAnsi" w:cstheme="minorHAnsi"/>
        </w:rPr>
        <w:t xml:space="preserve"> (um </w:t>
      </w:r>
      <w:r w:rsidRPr="003472B7">
        <w:rPr>
          <w:rFonts w:asciiTheme="minorHAnsi" w:hAnsiTheme="minorHAnsi" w:cstheme="minorHAnsi"/>
        </w:rPr>
        <w:t xml:space="preserve">heißes Wasser und aggressive Spülmittel </w:t>
      </w:r>
      <w:r>
        <w:rPr>
          <w:rFonts w:asciiTheme="minorHAnsi" w:hAnsiTheme="minorHAnsi" w:cstheme="minorHAnsi"/>
        </w:rPr>
        <w:t>vermeiden)</w:t>
      </w:r>
    </w:p>
    <w:p w14:paraId="350E6EEB" w14:textId="77777777" w:rsidR="003472B7" w:rsidRDefault="003472B7" w:rsidP="00AD78E8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>Kleidung aus natürlichen Materialien tragen (z. B. aus Baumwolle und Seide</w:t>
      </w:r>
      <w:r>
        <w:rPr>
          <w:rFonts w:asciiTheme="minorHAnsi" w:hAnsiTheme="minorHAnsi" w:cstheme="minorHAnsi"/>
        </w:rPr>
        <w:t>)</w:t>
      </w:r>
    </w:p>
    <w:p w14:paraId="05C1F7EE" w14:textId="77777777" w:rsidR="003472B7" w:rsidRPr="003472B7" w:rsidRDefault="003472B7" w:rsidP="00AD78E8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>Waschmittel ohne Farb- oder Duftstoffe verwenden</w:t>
      </w:r>
    </w:p>
    <w:p w14:paraId="7D510EAB" w14:textId="77777777" w:rsidR="003472B7" w:rsidRPr="003472B7" w:rsidRDefault="003472B7" w:rsidP="003472B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>Trinken Sie ausreichend Wasser – diese Empfehlung gilt besonders für ältere Menschen</w:t>
      </w:r>
    </w:p>
    <w:p w14:paraId="29ACB294" w14:textId="77777777" w:rsidR="0001678D" w:rsidRDefault="0001678D" w:rsidP="0001678D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614BA65D" w14:textId="77777777" w:rsidR="0001678D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325E75">
        <w:rPr>
          <w:rFonts w:asciiTheme="minorHAnsi" w:hAnsiTheme="minorHAnsi" w:cstheme="minorHAnsi"/>
          <w:b/>
          <w:color w:val="0070C0"/>
          <w:sz w:val="24"/>
          <w:u w:val="single"/>
        </w:rPr>
        <w:t xml:space="preserve">Tägliche Hautpflege bei </w:t>
      </w:r>
      <w:r w:rsidR="003472B7">
        <w:rPr>
          <w:rFonts w:asciiTheme="minorHAnsi" w:hAnsiTheme="minorHAnsi" w:cstheme="minorHAnsi"/>
          <w:b/>
          <w:color w:val="0070C0"/>
          <w:sz w:val="24"/>
          <w:u w:val="single"/>
        </w:rPr>
        <w:t>Trockener Haut</w:t>
      </w:r>
    </w:p>
    <w:p w14:paraId="2E3A2C61" w14:textId="77777777" w:rsidR="0001678D" w:rsidRPr="00325E75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08C562FA" w14:textId="77777777" w:rsidR="003472B7" w:rsidRPr="003472B7" w:rsidRDefault="003472B7" w:rsidP="003472B7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>Pflegeprodukte ohne Alkohol, Duft- und Farbstoffe</w:t>
      </w:r>
      <w:r>
        <w:rPr>
          <w:rFonts w:asciiTheme="minorHAnsi" w:hAnsiTheme="minorHAnsi" w:cstheme="minorHAnsi"/>
        </w:rPr>
        <w:t>, um Hautreizungen vorzubeugen</w:t>
      </w:r>
    </w:p>
    <w:p w14:paraId="1772CD37" w14:textId="77777777" w:rsidR="003472B7" w:rsidRPr="003472B7" w:rsidRDefault="003472B7" w:rsidP="008211D8">
      <w:pPr>
        <w:pStyle w:val="Listenabsatz"/>
        <w:numPr>
          <w:ilvl w:val="0"/>
          <w:numId w:val="12"/>
        </w:numPr>
      </w:pPr>
      <w:r w:rsidRPr="00341D56">
        <w:rPr>
          <w:rFonts w:asciiTheme="minorHAnsi" w:eastAsia="Times New Roman" w:hAnsiTheme="minorHAnsi" w:cstheme="minorHAnsi"/>
          <w:szCs w:val="24"/>
          <w:lang w:eastAsia="de-DE"/>
        </w:rPr>
        <w:t xml:space="preserve">eine </w:t>
      </w:r>
      <w:r w:rsidR="00341D56">
        <w:rPr>
          <w:rFonts w:asciiTheme="minorHAnsi" w:eastAsia="Times New Roman" w:hAnsiTheme="minorHAnsi" w:cstheme="minorHAnsi"/>
          <w:szCs w:val="24"/>
          <w:lang w:eastAsia="de-DE"/>
        </w:rPr>
        <w:t>P</w:t>
      </w:r>
      <w:r w:rsidRPr="00341D56">
        <w:rPr>
          <w:rFonts w:asciiTheme="minorHAnsi" w:eastAsia="Times New Roman" w:hAnsiTheme="minorHAnsi" w:cstheme="minorHAnsi"/>
          <w:szCs w:val="24"/>
          <w:lang w:eastAsia="de-DE"/>
        </w:rPr>
        <w:t>flege die den Feuchtigkeitshaushalt in den oberen Hautschichten wiederherstellt mit Inhaltsstoffen wie z.B. Urea</w:t>
      </w:r>
      <w:r w:rsidR="00341D56">
        <w:rPr>
          <w:rFonts w:asciiTheme="minorHAnsi" w:eastAsia="Times New Roman" w:hAnsiTheme="minorHAnsi" w:cstheme="minorHAnsi"/>
          <w:szCs w:val="24"/>
          <w:lang w:eastAsia="de-DE"/>
        </w:rPr>
        <w:t xml:space="preserve"> (am besten in Kombination mit </w:t>
      </w:r>
      <w:proofErr w:type="spellStart"/>
      <w:r w:rsidR="00341D56">
        <w:rPr>
          <w:rFonts w:asciiTheme="minorHAnsi" w:eastAsia="Times New Roman" w:hAnsiTheme="minorHAnsi" w:cstheme="minorHAnsi"/>
          <w:szCs w:val="24"/>
          <w:lang w:eastAsia="de-DE"/>
        </w:rPr>
        <w:t>Ceramiden</w:t>
      </w:r>
      <w:proofErr w:type="spellEnd"/>
      <w:r w:rsidR="00341D56" w:rsidRPr="00341D56">
        <w:rPr>
          <w:rFonts w:asciiTheme="minorHAnsi" w:eastAsia="Times New Roman" w:hAnsiTheme="minorHAnsi" w:cstheme="minorHAnsi"/>
          <w:szCs w:val="24"/>
          <w:lang w:eastAsia="de-DE"/>
        </w:rPr>
        <w:t>, natürliche Feuchthaltefaktoren</w:t>
      </w:r>
      <w:r w:rsidR="00341D56">
        <w:rPr>
          <w:rFonts w:asciiTheme="minorHAnsi" w:eastAsia="Times New Roman" w:hAnsiTheme="minorHAnsi" w:cstheme="minorHAnsi"/>
          <w:szCs w:val="24"/>
          <w:lang w:eastAsia="de-DE"/>
        </w:rPr>
        <w:t xml:space="preserve">, Glycerin und </w:t>
      </w:r>
      <w:proofErr w:type="spellStart"/>
      <w:r w:rsidR="00341D56">
        <w:rPr>
          <w:rFonts w:asciiTheme="minorHAnsi" w:eastAsia="Times New Roman" w:hAnsiTheme="minorHAnsi" w:cstheme="minorHAnsi"/>
          <w:szCs w:val="24"/>
          <w:lang w:eastAsia="de-DE"/>
        </w:rPr>
        <w:t>Gluco</w:t>
      </w:r>
      <w:proofErr w:type="spellEnd"/>
      <w:r w:rsidR="00341D56">
        <w:rPr>
          <w:rFonts w:asciiTheme="minorHAnsi" w:eastAsia="Times New Roman" w:hAnsiTheme="minorHAnsi" w:cstheme="minorHAnsi"/>
          <w:szCs w:val="24"/>
          <w:lang w:eastAsia="de-DE"/>
        </w:rPr>
        <w:t xml:space="preserve">-Glycerol </w:t>
      </w:r>
      <w:r w:rsidR="00341D56"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z.B. Eucerin </w:t>
      </w:r>
      <w:proofErr w:type="spellStart"/>
      <w:r w:rsidR="00341D56"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>UreaRepair</w:t>
      </w:r>
      <w:proofErr w:type="spellEnd"/>
      <w:r w:rsidR="00341D56"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10% Lotion</w:t>
      </w:r>
      <w:r w:rsidR="00341D56">
        <w:rPr>
          <w:rFonts w:asciiTheme="minorHAnsi" w:eastAsia="Times New Roman" w:hAnsiTheme="minorHAnsi" w:cstheme="minorHAnsi"/>
          <w:szCs w:val="24"/>
          <w:lang w:eastAsia="de-DE"/>
        </w:rPr>
        <w:t>)</w:t>
      </w:r>
    </w:p>
    <w:p w14:paraId="2A3779E5" w14:textId="77777777" w:rsidR="003472B7" w:rsidRPr="003472B7" w:rsidRDefault="003472B7" w:rsidP="003472B7">
      <w:pPr>
        <w:pStyle w:val="Listenabsatz"/>
        <w:numPr>
          <w:ilvl w:val="0"/>
          <w:numId w:val="12"/>
        </w:numPr>
        <w:rPr>
          <w:rFonts w:asciiTheme="minorHAnsi" w:hAnsiTheme="minorHAnsi" w:cstheme="minorHAnsi"/>
        </w:rPr>
      </w:pPr>
      <w:r w:rsidRPr="003472B7">
        <w:rPr>
          <w:rFonts w:asciiTheme="minorHAnsi" w:hAnsiTheme="minorHAnsi" w:cstheme="minorHAnsi"/>
        </w:rPr>
        <w:t>Reinigung</w:t>
      </w:r>
      <w:r>
        <w:rPr>
          <w:rFonts w:asciiTheme="minorHAnsi" w:hAnsiTheme="minorHAnsi" w:cstheme="minorHAnsi"/>
        </w:rPr>
        <w:t xml:space="preserve"> </w:t>
      </w:r>
      <w:r w:rsidR="00341D56">
        <w:rPr>
          <w:rFonts w:asciiTheme="minorHAnsi" w:hAnsiTheme="minorHAnsi" w:cstheme="minorHAnsi"/>
        </w:rPr>
        <w:t>so sanft</w:t>
      </w:r>
      <w:r w:rsidRPr="003472B7">
        <w:rPr>
          <w:rFonts w:asciiTheme="minorHAnsi" w:hAnsiTheme="minorHAnsi" w:cstheme="minorHAnsi"/>
        </w:rPr>
        <w:t xml:space="preserve">, dass der natürliche Schutzfilm der Haut beim Waschen nicht abgelöst wird </w:t>
      </w:r>
    </w:p>
    <w:p w14:paraId="2D4C0189" w14:textId="77777777" w:rsidR="00341D56" w:rsidRPr="003472B7" w:rsidRDefault="00341D56" w:rsidP="00341D56">
      <w:r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z.B. Eucerin </w:t>
      </w:r>
      <w:proofErr w:type="spellStart"/>
      <w:r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>UreaRepair</w:t>
      </w:r>
      <w:proofErr w:type="spellEnd"/>
      <w:r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Pflegeserie ( Waschfluid, Körpercreme, Lotion, Hand- und </w:t>
      </w:r>
      <w:proofErr w:type="spellStart"/>
      <w:r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>Fußcreme</w:t>
      </w:r>
      <w:proofErr w:type="spellEnd"/>
      <w:r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>) in der Apotheke erhältlich</w:t>
      </w:r>
    </w:p>
    <w:sectPr w:rsidR="00341D56" w:rsidRPr="003472B7" w:rsidSect="00C87D93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7AD"/>
    <w:multiLevelType w:val="multilevel"/>
    <w:tmpl w:val="CF0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74ACC"/>
    <w:multiLevelType w:val="hybridMultilevel"/>
    <w:tmpl w:val="944E0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84E"/>
    <w:multiLevelType w:val="multilevel"/>
    <w:tmpl w:val="370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3575B"/>
    <w:multiLevelType w:val="hybridMultilevel"/>
    <w:tmpl w:val="FEDE0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54C7"/>
    <w:multiLevelType w:val="multilevel"/>
    <w:tmpl w:val="430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D3BF5"/>
    <w:multiLevelType w:val="hybridMultilevel"/>
    <w:tmpl w:val="005E9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6997"/>
    <w:multiLevelType w:val="hybridMultilevel"/>
    <w:tmpl w:val="0AA25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0266"/>
    <w:multiLevelType w:val="hybridMultilevel"/>
    <w:tmpl w:val="7486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2365"/>
    <w:multiLevelType w:val="multilevel"/>
    <w:tmpl w:val="190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7575F"/>
    <w:multiLevelType w:val="hybridMultilevel"/>
    <w:tmpl w:val="3F00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43957"/>
    <w:multiLevelType w:val="hybridMultilevel"/>
    <w:tmpl w:val="EC6A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15CCE"/>
    <w:multiLevelType w:val="hybridMultilevel"/>
    <w:tmpl w:val="2B24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A5E4B"/>
    <w:multiLevelType w:val="hybridMultilevel"/>
    <w:tmpl w:val="7D0E2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8D"/>
    <w:rsid w:val="0001678D"/>
    <w:rsid w:val="000C4A86"/>
    <w:rsid w:val="000D2A4F"/>
    <w:rsid w:val="00191131"/>
    <w:rsid w:val="00341D56"/>
    <w:rsid w:val="003472B7"/>
    <w:rsid w:val="003E45C6"/>
    <w:rsid w:val="00504949"/>
    <w:rsid w:val="0079526D"/>
    <w:rsid w:val="007B6215"/>
    <w:rsid w:val="0084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41A7"/>
  <w15:chartTrackingRefBased/>
  <w15:docId w15:val="{677655D1-580C-4A49-B3D7-4C08E43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78D"/>
    <w:rPr>
      <w:rFonts w:ascii="Arial" w:hAnsi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0D2A4F"/>
    <w:pPr>
      <w:keepNext/>
      <w:keepLines/>
      <w:spacing w:before="240" w:after="0"/>
      <w:outlineLvl w:val="0"/>
    </w:pPr>
    <w:rPr>
      <w:rFonts w:eastAsiaTheme="majorEastAsia" w:cstheme="majorBidi"/>
      <w:b/>
      <w:color w:val="00136F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D2A4F"/>
    <w:pPr>
      <w:keepNext/>
      <w:keepLines/>
      <w:spacing w:before="40" w:after="0"/>
      <w:outlineLvl w:val="1"/>
    </w:pPr>
    <w:rPr>
      <w:rFonts w:eastAsiaTheme="majorEastAsia" w:cstheme="majorBidi"/>
      <w:b/>
      <w:color w:val="00136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21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A4F"/>
    <w:rPr>
      <w:rFonts w:ascii="Arial" w:eastAsiaTheme="majorEastAsia" w:hAnsi="Arial" w:cstheme="majorBidi"/>
      <w:b/>
      <w:color w:val="00136F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A4F"/>
    <w:rPr>
      <w:rFonts w:ascii="Arial" w:eastAsiaTheme="majorEastAsia" w:hAnsi="Arial" w:cstheme="majorBidi"/>
      <w:b/>
      <w:color w:val="00136F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215"/>
    <w:rPr>
      <w:rFonts w:ascii="Arial" w:eastAsiaTheme="majorEastAsia" w:hAnsi="Arial" w:cstheme="majorBidi"/>
      <w:b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167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96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9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0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7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0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5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0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4471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cerin.de/hautzustand/alternde-haut/alternde-haut-im-allgemei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Katzmann, Sandy /BDF HAM</dc:creator>
  <cp:keywords/>
  <dc:description/>
  <cp:lastModifiedBy>Praxis Dr. Bauer</cp:lastModifiedBy>
  <cp:revision>2</cp:revision>
  <dcterms:created xsi:type="dcterms:W3CDTF">2020-06-15T11:05:00Z</dcterms:created>
  <dcterms:modified xsi:type="dcterms:W3CDTF">2020-06-15T11:05:00Z</dcterms:modified>
</cp:coreProperties>
</file>